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66" w:rsidRPr="009A0766" w:rsidRDefault="009A0766" w:rsidP="009A0766">
      <w:pPr>
        <w:pBdr>
          <w:left w:val="single" w:sz="36" w:space="11" w:color="40B4BD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35068"/>
          <w:kern w:val="36"/>
          <w:sz w:val="45"/>
          <w:szCs w:val="45"/>
          <w:lang w:eastAsia="pt-PT"/>
        </w:rPr>
      </w:pPr>
      <w:r w:rsidRPr="009A0766">
        <w:rPr>
          <w:rFonts w:ascii="Arial" w:eastAsia="Times New Roman" w:hAnsi="Arial" w:cs="Arial"/>
          <w:color w:val="435068"/>
          <w:kern w:val="36"/>
          <w:sz w:val="45"/>
          <w:szCs w:val="45"/>
          <w:lang w:eastAsia="pt-PT"/>
        </w:rPr>
        <w:t>Ética e deontologia no desporto</w:t>
      </w:r>
    </w:p>
    <w:p w:rsidR="009A0766" w:rsidRPr="009A0766" w:rsidRDefault="009A0766" w:rsidP="009A0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7AAC43"/>
          <w:sz w:val="21"/>
          <w:szCs w:val="21"/>
          <w:lang w:eastAsia="pt-PT"/>
        </w:rPr>
        <w:t>Criada em 2011-11-22</w:t>
      </w:r>
    </w:p>
    <w:p w:rsidR="009A0766" w:rsidRPr="009A0766" w:rsidRDefault="009A0766" w:rsidP="009A0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DESIGNAÇÃO DA UFCD:</w:t>
      </w: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Ética e deontologia no desporto</w:t>
      </w:r>
    </w:p>
    <w:p w:rsidR="009A0766" w:rsidRPr="009A0766" w:rsidRDefault="009A0766" w:rsidP="009A0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CÓDIGO DA UFCD:</w:t>
      </w: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7250</w:t>
      </w:r>
    </w:p>
    <w:p w:rsidR="009A0766" w:rsidRPr="009A0766" w:rsidRDefault="009A0766" w:rsidP="009A0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CARGA HORÁRIA:</w:t>
      </w: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25 horas</w:t>
      </w:r>
    </w:p>
    <w:p w:rsidR="009A0766" w:rsidRPr="009A0766" w:rsidRDefault="009A0766" w:rsidP="009A0766">
      <w:pPr>
        <w:shd w:val="clear" w:color="auto" w:fill="FFFFFF"/>
        <w:spacing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PONTOS DE CRÉDITO:</w:t>
      </w: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2.25</w:t>
      </w:r>
    </w:p>
    <w:p w:rsidR="009A0766" w:rsidRPr="009A0766" w:rsidRDefault="009A0766" w:rsidP="009A0766">
      <w:pPr>
        <w:shd w:val="clear" w:color="auto" w:fill="FFFFFF"/>
        <w:spacing w:after="75" w:line="312" w:lineRule="atLeast"/>
        <w:outlineLvl w:val="1"/>
        <w:rPr>
          <w:rFonts w:ascii="Arial" w:eastAsia="Times New Roman" w:hAnsi="Arial" w:cs="Arial"/>
          <w:color w:val="435068"/>
          <w:sz w:val="36"/>
          <w:szCs w:val="36"/>
          <w:lang w:eastAsia="pt-PT"/>
        </w:rPr>
      </w:pPr>
      <w:r w:rsidRPr="009A0766">
        <w:rPr>
          <w:rFonts w:ascii="Arial" w:eastAsia="Times New Roman" w:hAnsi="Arial" w:cs="Arial"/>
          <w:color w:val="435068"/>
          <w:sz w:val="36"/>
          <w:szCs w:val="36"/>
          <w:lang w:eastAsia="pt-PT"/>
        </w:rPr>
        <w:t>Objetivos</w:t>
      </w:r>
    </w:p>
    <w:p w:rsidR="009A0766" w:rsidRPr="009A0766" w:rsidRDefault="009A0766" w:rsidP="009A0766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Identificar os princípios fundamentais dos valores éticos e culturais.</w:t>
      </w:r>
    </w:p>
    <w:p w:rsidR="009A0766" w:rsidRPr="009A0766" w:rsidRDefault="009A0766" w:rsidP="009A0766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Aplicar as normas deontológicas e profissionais na sua prática profissional articulando-a com a responsabilidade pessoal</w:t>
      </w:r>
    </w:p>
    <w:p w:rsidR="009A0766" w:rsidRPr="009A0766" w:rsidRDefault="009A0766" w:rsidP="009A0766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Identificar fatores éticos de promoção do desenvolvimento institucional.</w:t>
      </w:r>
    </w:p>
    <w:p w:rsidR="009A0766" w:rsidRPr="009A0766" w:rsidRDefault="009A0766" w:rsidP="009A0766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Reconhecer condutas éticas conducentes à preservação da solidariedade e do respeito numa comunidade global.</w:t>
      </w:r>
    </w:p>
    <w:p w:rsidR="009A0766" w:rsidRPr="009A0766" w:rsidRDefault="009A0766" w:rsidP="009A0766">
      <w:pPr>
        <w:numPr>
          <w:ilvl w:val="0"/>
          <w:numId w:val="1"/>
        </w:numPr>
        <w:shd w:val="clear" w:color="auto" w:fill="FFFFFF"/>
        <w:spacing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Identificar as condutas éticas de intervenção aplicáveis aos agentes desportivos</w:t>
      </w:r>
    </w:p>
    <w:p w:rsidR="009A0766" w:rsidRPr="009A0766" w:rsidRDefault="009A0766" w:rsidP="009A0766">
      <w:pPr>
        <w:shd w:val="clear" w:color="auto" w:fill="FFFFFF"/>
        <w:spacing w:after="75" w:line="312" w:lineRule="atLeast"/>
        <w:outlineLvl w:val="1"/>
        <w:rPr>
          <w:rFonts w:ascii="Arial" w:eastAsia="Times New Roman" w:hAnsi="Arial" w:cs="Arial"/>
          <w:color w:val="435068"/>
          <w:sz w:val="36"/>
          <w:szCs w:val="36"/>
          <w:lang w:eastAsia="pt-PT"/>
        </w:rPr>
      </w:pPr>
      <w:r w:rsidRPr="009A0766">
        <w:rPr>
          <w:rFonts w:ascii="Arial" w:eastAsia="Times New Roman" w:hAnsi="Arial" w:cs="Arial"/>
          <w:color w:val="435068"/>
          <w:sz w:val="36"/>
          <w:szCs w:val="36"/>
          <w:lang w:eastAsia="pt-PT"/>
        </w:rPr>
        <w:t>Conteúdos</w:t>
      </w:r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bookmarkStart w:id="0" w:name="_GoBack"/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1.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Princípios fundamentais da ética</w:t>
      </w:r>
    </w:p>
    <w:bookmarkEnd w:id="0"/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2.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Ética, doutrina, deontologia e moral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Conceitos-chave: ética, deontologia, consciência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Campos de reflexão/intervenção e suas características comuns e diferenciadas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O método analítico como fundamentação da ética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Valores fundamentais de um código de ética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Ética e liberdade: responsabilidade e intencionalidade</w:t>
      </w:r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3.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Códigos de ética e padrões deontológicos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Códigos de ética pessoal e de deontologia profissional:</w:t>
      </w:r>
    </w:p>
    <w:p w:rsidR="009A0766" w:rsidRPr="009A0766" w:rsidRDefault="009A0766" w:rsidP="009A0766">
      <w:pPr>
        <w:numPr>
          <w:ilvl w:val="2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Da “ciência dos costumes” ao conjunto de deveres</w:t>
      </w:r>
    </w:p>
    <w:p w:rsidR="009A0766" w:rsidRPr="009A0766" w:rsidRDefault="009A0766" w:rsidP="009A0766">
      <w:pPr>
        <w:numPr>
          <w:ilvl w:val="2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Princípios e normas específicos de um grupo profissional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lastRenderedPageBreak/>
        <w:t>Conceitos-chave: deontologia, códigos de ética, conduta profissional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Papel das normas de conduta profissional na definição da deontologia de uma profissão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Relação entre as normas deontológicas e a responsabilidade social de um grupo profissional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Dinâmicas entre a responsabilidade profissional e os diferentes contextos sociais</w:t>
      </w:r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4.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Ética e desenvolvimento institucional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Relação entre a ética individual e os padrões de ética institucional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Conceitos-chave: igualdade, diferença, organização comunitária.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 xml:space="preserve">Códigos de ética e conduta institucional como elementos de identidade e formação de princípios reguladores das relações </w:t>
      </w:r>
      <w:proofErr w:type="spellStart"/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inter-pessoais</w:t>
      </w:r>
      <w:proofErr w:type="spellEnd"/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 xml:space="preserve"> e socioculturais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 xml:space="preserve">Papel dos princípios éticos e deontológicos institucionais na mediação de conflitos </w:t>
      </w:r>
      <w:proofErr w:type="spellStart"/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colectivo</w:t>
      </w:r>
      <w:proofErr w:type="spellEnd"/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5.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Comunidade global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Globalização e as novas dimensões de atitudes: local, nacional, transnacional e global</w:t>
      </w:r>
    </w:p>
    <w:p w:rsidR="009A0766" w:rsidRPr="009A0766" w:rsidRDefault="009A0766" w:rsidP="009A0766">
      <w:pPr>
        <w:numPr>
          <w:ilvl w:val="2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Conceitos-chave: nexo local/global, globalização.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 xml:space="preserve">Internacionalização, </w:t>
      </w:r>
      <w:proofErr w:type="spellStart"/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transnacionalidade</w:t>
      </w:r>
      <w:proofErr w:type="spellEnd"/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 xml:space="preserve"> e os problemas éticos colocados pela globalização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Ambivalências do processo de globalização</w:t>
      </w:r>
    </w:p>
    <w:p w:rsidR="009A0766" w:rsidRPr="009A0766" w:rsidRDefault="009A0766" w:rsidP="009A0766">
      <w:pPr>
        <w:numPr>
          <w:ilvl w:val="2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Abertura de mercados: ética na competitividade</w:t>
      </w:r>
    </w:p>
    <w:p w:rsidR="009A0766" w:rsidRPr="009A0766" w:rsidRDefault="009A0766" w:rsidP="009A0766">
      <w:pPr>
        <w:numPr>
          <w:ilvl w:val="2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Esbatimento de fronteiras: ética para a igualdade/inclusão</w:t>
      </w:r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6.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A construção de uma cidadania mundial inclusiva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Importância da criação de plataformas de convergência e desenvolvimento, com vista a uma integração económica mundial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Dimensão ética do combate às desigualdades económico-sociais, no âmbito da globalização</w:t>
      </w:r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7.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Exigências em relação à organização, em termos de: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Participação nos objetivos da organização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lastRenderedPageBreak/>
        <w:t>Promoção do desenvolvimento da imagem da organização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Uso correto de materiais e equipamentos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Discernimento de julgamento em eventuais situações de conflito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Sigilo profissional</w:t>
      </w:r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8.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Exigências em relação ao público externo, em termos de: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Respeito e confiança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Princípio da livre concorrência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Comunicação bilateral</w:t>
      </w:r>
    </w:p>
    <w:p w:rsidR="009A0766" w:rsidRPr="0099496C" w:rsidRDefault="0099496C" w:rsidP="009A0766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</w:pPr>
      <w:r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 xml:space="preserve">9. </w:t>
      </w:r>
      <w:r w:rsidR="009A0766" w:rsidRPr="0099496C">
        <w:rPr>
          <w:rFonts w:ascii="Arial" w:eastAsia="Times New Roman" w:hAnsi="Arial" w:cs="Arial"/>
          <w:b/>
          <w:color w:val="435068"/>
          <w:sz w:val="21"/>
          <w:szCs w:val="21"/>
          <w:u w:val="single"/>
          <w:lang w:eastAsia="pt-PT"/>
        </w:rPr>
        <w:t>A ética no desporto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Considerações gerais e princípios organizadores da ética no desporto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O código de ética desportiva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Ética na gestão do desporto e especificidades da gestão do desporto</w:t>
      </w:r>
    </w:p>
    <w:p w:rsidR="009A0766" w:rsidRPr="009A0766" w:rsidRDefault="009A0766" w:rsidP="009A0766">
      <w:pPr>
        <w:numPr>
          <w:ilvl w:val="1"/>
          <w:numId w:val="2"/>
        </w:numPr>
        <w:shd w:val="clear" w:color="auto" w:fill="FFFFFF"/>
        <w:spacing w:line="360" w:lineRule="atLeast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Questões éticas na intervenção do técnico de apoio à gestão do desporto</w:t>
      </w:r>
    </w:p>
    <w:p w:rsidR="009A0766" w:rsidRPr="009A0766" w:rsidRDefault="009A0766" w:rsidP="009A0766">
      <w:pPr>
        <w:shd w:val="clear" w:color="auto" w:fill="FFFFFF"/>
        <w:spacing w:after="75" w:line="312" w:lineRule="atLeast"/>
        <w:outlineLvl w:val="1"/>
        <w:rPr>
          <w:rFonts w:ascii="Arial" w:eastAsia="Times New Roman" w:hAnsi="Arial" w:cs="Arial"/>
          <w:color w:val="435068"/>
          <w:sz w:val="36"/>
          <w:szCs w:val="36"/>
          <w:lang w:eastAsia="pt-PT"/>
        </w:rPr>
      </w:pPr>
      <w:r w:rsidRPr="009A0766">
        <w:rPr>
          <w:rFonts w:ascii="Arial" w:eastAsia="Times New Roman" w:hAnsi="Arial" w:cs="Arial"/>
          <w:color w:val="435068"/>
          <w:sz w:val="36"/>
          <w:szCs w:val="36"/>
          <w:lang w:eastAsia="pt-PT"/>
        </w:rPr>
        <w:t>Qualificações</w:t>
      </w:r>
    </w:p>
    <w:p w:rsidR="009A0766" w:rsidRPr="009A0766" w:rsidRDefault="009A0766" w:rsidP="009A0766">
      <w:pPr>
        <w:numPr>
          <w:ilvl w:val="0"/>
          <w:numId w:val="3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813189 - Técnico/a de Apoio à Gestão Desportiva</w:t>
      </w:r>
    </w:p>
    <w:p w:rsidR="009A0766" w:rsidRPr="009A0766" w:rsidRDefault="009A0766" w:rsidP="009A076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9A0766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813353 - Técnico/a de Desporto</w:t>
      </w:r>
    </w:p>
    <w:p w:rsidR="0059653D" w:rsidRDefault="0059653D"/>
    <w:sectPr w:rsidR="00596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F10"/>
    <w:multiLevelType w:val="multilevel"/>
    <w:tmpl w:val="4838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F1BFF"/>
    <w:multiLevelType w:val="multilevel"/>
    <w:tmpl w:val="619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27DB2"/>
    <w:multiLevelType w:val="multilevel"/>
    <w:tmpl w:val="F66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66"/>
    <w:rsid w:val="0059653D"/>
    <w:rsid w:val="0099496C"/>
    <w:rsid w:val="009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BFDC"/>
  <w15:chartTrackingRefBased/>
  <w15:docId w15:val="{C0C258FB-2095-48E4-B059-4AA39F8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9A0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9A0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9A076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A076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block-minor">
    <w:name w:val="block-minor"/>
    <w:basedOn w:val="Normal"/>
    <w:rsid w:val="009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een">
    <w:name w:val="green"/>
    <w:basedOn w:val="Tipodeletrapredefinidodopargrafo"/>
    <w:rsid w:val="009A0766"/>
  </w:style>
  <w:style w:type="character" w:customStyle="1" w:styleId="block-minor-label">
    <w:name w:val="block-minor-label"/>
    <w:basedOn w:val="Tipodeletrapredefinidodopargrafo"/>
    <w:rsid w:val="009A0766"/>
  </w:style>
  <w:style w:type="character" w:customStyle="1" w:styleId="qualification-title">
    <w:name w:val="qualification-title"/>
    <w:basedOn w:val="Tipodeletrapredefinidodopargrafo"/>
    <w:rsid w:val="009A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1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6E7E8"/>
                            <w:left w:val="single" w:sz="6" w:space="11" w:color="E6E7E8"/>
                            <w:bottom w:val="single" w:sz="6" w:space="11" w:color="E6E7E8"/>
                            <w:right w:val="single" w:sz="6" w:space="11" w:color="E6E7E8"/>
                          </w:divBdr>
                          <w:divsChild>
                            <w:div w:id="15271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40B4B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645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49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2124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0372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8801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3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</cp:revision>
  <dcterms:created xsi:type="dcterms:W3CDTF">2021-09-02T16:38:00Z</dcterms:created>
  <dcterms:modified xsi:type="dcterms:W3CDTF">2021-09-14T17:47:00Z</dcterms:modified>
</cp:coreProperties>
</file>